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40" w:rsidRPr="00F84D40" w:rsidRDefault="00F84D40" w:rsidP="00F84D40">
      <w:pPr>
        <w:spacing w:after="100" w:afterAutospacing="1"/>
        <w:outlineLvl w:val="1"/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it-IT"/>
        </w:rPr>
      </w:pPr>
      <w:r w:rsidRPr="00F84D40">
        <w:rPr>
          <w:rFonts w:ascii="Roboto" w:eastAsia="Times New Roman" w:hAnsi="Roboto" w:cs="Times New Roman"/>
          <w:b/>
          <w:bCs/>
          <w:color w:val="212529"/>
          <w:sz w:val="36"/>
          <w:szCs w:val="36"/>
          <w:lang w:eastAsia="it-IT"/>
        </w:rPr>
        <w:t>Presentazione Progetto Parte II Scheda Parametrica</w:t>
      </w:r>
    </w:p>
    <w:p w:rsidR="00F84D40" w:rsidRPr="00F84D40" w:rsidRDefault="00F84D40" w:rsidP="00F84D40">
      <w:pPr>
        <w:shd w:val="clear" w:color="auto" w:fill="FFFFFF"/>
        <w:spacing w:after="100" w:afterAutospacing="1" w:line="276" w:lineRule="auto"/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</w:pP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Sul </w:t>
      </w:r>
      <w:hyperlink r:id="rId4" w:tgtFrame="_blank" w:history="1">
        <w:r w:rsidRPr="00F84D40">
          <w:rPr>
            <w:rFonts w:ascii="Roboto Condensed" w:eastAsia="Times New Roman" w:hAnsi="Roboto Condensed" w:cs="Times New Roman"/>
            <w:b/>
            <w:bCs/>
            <w:color w:val="4B6240"/>
            <w:sz w:val="27"/>
            <w:szCs w:val="27"/>
            <w:u w:val="single"/>
            <w:lang w:eastAsia="it-IT"/>
          </w:rPr>
          <w:t>sito del Comune di L’Aquila</w:t>
        </w:r>
      </w:hyperlink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 sono disponibili gli elenchi delle pratiche nuova procedura con contributo massimo ammissibile pubblicato e per le quali si richiede la presentazione del Progetto Parte Seconda.</w:t>
      </w: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br/>
        <w:t>Gli interessati possono r</w:t>
      </w:r>
      <w:bookmarkStart w:id="0" w:name="_GoBack"/>
      <w:bookmarkEnd w:id="0"/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itirare l’</w:t>
      </w:r>
      <w:r w:rsidRPr="00F84D40">
        <w:rPr>
          <w:rFonts w:ascii="Roboto Condensed" w:eastAsia="Times New Roman" w:hAnsi="Roboto Condensed" w:cs="Times New Roman"/>
          <w:b/>
          <w:bCs/>
          <w:color w:val="212529"/>
          <w:sz w:val="27"/>
          <w:szCs w:val="27"/>
          <w:u w:val="single"/>
          <w:lang w:eastAsia="it-IT"/>
        </w:rPr>
        <w:t>autorizzazione alla progettazione</w:t>
      </w: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 e le </w:t>
      </w:r>
      <w:r w:rsidRPr="00F84D40">
        <w:rPr>
          <w:rFonts w:ascii="Roboto Condensed" w:eastAsia="Times New Roman" w:hAnsi="Roboto Condensed" w:cs="Times New Roman"/>
          <w:b/>
          <w:bCs/>
          <w:color w:val="212529"/>
          <w:sz w:val="27"/>
          <w:szCs w:val="27"/>
          <w:u w:val="single"/>
          <w:lang w:eastAsia="it-IT"/>
        </w:rPr>
        <w:t>credenziali per la redazione on-line del progetto parte seconda</w:t>
      </w: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 presso lo sportello </w:t>
      </w:r>
      <w:r w:rsidRPr="00F84D40">
        <w:rPr>
          <w:rFonts w:ascii="Roboto Condensed" w:eastAsia="Times New Roman" w:hAnsi="Roboto Condensed" w:cs="Times New Roman"/>
          <w:b/>
          <w:bCs/>
          <w:color w:val="212529"/>
          <w:sz w:val="27"/>
          <w:szCs w:val="27"/>
          <w:u w:val="single"/>
          <w:lang w:eastAsia="it-IT"/>
        </w:rPr>
        <w:t>Schede Parametriche dell’Ufficio Speciale per la Ricostruzione dell’Aquila</w:t>
      </w: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 (USRA), via Avezzano 11/c – L’Aquila, in base ai seguenti orari: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703"/>
        <w:gridCol w:w="3243"/>
      </w:tblGrid>
      <w:tr w:rsidR="00F84D40" w:rsidRPr="00F84D40" w:rsidTr="00F84D40"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rPr>
                <w:rFonts w:ascii="Roboto" w:eastAsia="Times New Roman" w:hAnsi="Roboto" w:cs="Times New Roman"/>
                <w:color w:val="212529"/>
                <w:sz w:val="27"/>
                <w:szCs w:val="27"/>
                <w:lang w:eastAsia="it-IT"/>
              </w:rPr>
            </w:pPr>
          </w:p>
        </w:tc>
        <w:tc>
          <w:tcPr>
            <w:tcW w:w="3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b/>
                <w:bCs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b/>
                <w:bCs/>
                <w:lang w:eastAsia="it-IT"/>
              </w:rPr>
              <w:t>Dalle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b/>
                <w:bCs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b/>
                <w:bCs/>
                <w:lang w:eastAsia="it-IT"/>
              </w:rPr>
              <w:t>Alle</w:t>
            </w:r>
          </w:p>
        </w:tc>
      </w:tr>
      <w:tr w:rsidR="00F84D40" w:rsidRPr="00F84D40" w:rsidTr="00F84D40"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Lunedì</w:t>
            </w:r>
          </w:p>
        </w:tc>
        <w:tc>
          <w:tcPr>
            <w:tcW w:w="3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10:00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12:00</w:t>
            </w:r>
          </w:p>
        </w:tc>
      </w:tr>
      <w:tr w:rsidR="00F84D40" w:rsidRPr="00F84D40" w:rsidTr="00F84D40"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Mercoledì</w:t>
            </w:r>
          </w:p>
        </w:tc>
        <w:tc>
          <w:tcPr>
            <w:tcW w:w="3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10:00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12:00</w:t>
            </w:r>
          </w:p>
        </w:tc>
      </w:tr>
      <w:tr w:rsidR="00F84D40" w:rsidRPr="00F84D40" w:rsidTr="00F84D40"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Venerdì</w:t>
            </w:r>
          </w:p>
        </w:tc>
        <w:tc>
          <w:tcPr>
            <w:tcW w:w="3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10:00</w:t>
            </w:r>
          </w:p>
        </w:tc>
        <w:tc>
          <w:tcPr>
            <w:tcW w:w="3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D40" w:rsidRPr="00F84D40" w:rsidRDefault="00F84D40" w:rsidP="00F84D40">
            <w:pPr>
              <w:jc w:val="center"/>
              <w:rPr>
                <w:rFonts w:ascii="Roboto" w:eastAsia="Times New Roman" w:hAnsi="Roboto" w:cs="Times New Roman"/>
                <w:lang w:eastAsia="it-IT"/>
              </w:rPr>
            </w:pPr>
            <w:r w:rsidRPr="00F84D40">
              <w:rPr>
                <w:rFonts w:ascii="Roboto" w:eastAsia="Times New Roman" w:hAnsi="Roboto" w:cs="Times New Roman"/>
                <w:lang w:eastAsia="it-IT"/>
              </w:rPr>
              <w:t>12:00</w:t>
            </w:r>
          </w:p>
        </w:tc>
      </w:tr>
    </w:tbl>
    <w:p w:rsidR="00F84D40" w:rsidRDefault="00F84D40" w:rsidP="00F84D40">
      <w:pPr>
        <w:shd w:val="clear" w:color="auto" w:fill="FFFFFF"/>
        <w:spacing w:after="100" w:afterAutospacing="1"/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</w:pPr>
    </w:p>
    <w:p w:rsidR="00F84D40" w:rsidRPr="00F84D40" w:rsidRDefault="00F84D40" w:rsidP="00F84D40">
      <w:pPr>
        <w:shd w:val="clear" w:color="auto" w:fill="FFFFFF"/>
        <w:spacing w:after="100" w:afterAutospacing="1" w:line="276" w:lineRule="auto"/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</w:pP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E’ disponibile </w:t>
      </w:r>
      <w:hyperlink r:id="rId5" w:tgtFrame="_blank" w:history="1">
        <w:r w:rsidRPr="00F84D40">
          <w:rPr>
            <w:rFonts w:ascii="Roboto Condensed" w:eastAsia="Times New Roman" w:hAnsi="Roboto Condensed" w:cs="Times New Roman"/>
            <w:b/>
            <w:bCs/>
            <w:color w:val="4B6240"/>
            <w:sz w:val="27"/>
            <w:szCs w:val="27"/>
            <w:u w:val="single"/>
            <w:lang w:eastAsia="it-IT"/>
          </w:rPr>
          <w:t>il modulo</w:t>
        </w:r>
      </w:hyperlink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 per la delega al ritiro delle credenziali di cui sopra da compilare a cura del Rappresentante del condominio/delegato parti comuni, Rappresentante del consorzio, Proprietario di Edificio singolo.</w:t>
      </w:r>
    </w:p>
    <w:p w:rsidR="00F84D40" w:rsidRPr="00F84D40" w:rsidRDefault="00F84D40" w:rsidP="00F84D40">
      <w:pPr>
        <w:shd w:val="clear" w:color="auto" w:fill="FFFFFF"/>
        <w:spacing w:after="100" w:afterAutospacing="1" w:line="276" w:lineRule="auto"/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</w:pP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Il richiedente si autentica on-line e compila la scheda parte seconda a partire dalla parte prima autorizzata che trova precompilata sul suo account.</w:t>
      </w:r>
    </w:p>
    <w:p w:rsidR="00F84D40" w:rsidRPr="00F84D40" w:rsidRDefault="00F84D40" w:rsidP="00F84D40">
      <w:pPr>
        <w:shd w:val="clear" w:color="auto" w:fill="FFFFFF"/>
        <w:spacing w:after="100" w:afterAutospacing="1" w:line="276" w:lineRule="auto"/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</w:pP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Ai sensi dell’art. 2 della </w:t>
      </w:r>
      <w:hyperlink r:id="rId6" w:tgtFrame="_blank" w:history="1">
        <w:r w:rsidRPr="00F84D40">
          <w:rPr>
            <w:rFonts w:ascii="Roboto Condensed" w:eastAsia="Times New Roman" w:hAnsi="Roboto Condensed" w:cs="Times New Roman"/>
            <w:b/>
            <w:bCs/>
            <w:color w:val="4B6240"/>
            <w:sz w:val="27"/>
            <w:szCs w:val="27"/>
            <w:u w:val="single"/>
            <w:lang w:eastAsia="it-IT"/>
          </w:rPr>
          <w:t>Determina del Titolare dell’USRA n. 244/2015</w:t>
        </w:r>
      </w:hyperlink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, il progetto parte seconda dovrà essere presentato entro </w:t>
      </w:r>
      <w:r w:rsidRPr="00F84D40">
        <w:rPr>
          <w:rFonts w:ascii="Roboto Condensed" w:eastAsia="Times New Roman" w:hAnsi="Roboto Condensed" w:cs="Times New Roman"/>
          <w:b/>
          <w:bCs/>
          <w:color w:val="212529"/>
          <w:sz w:val="27"/>
          <w:szCs w:val="27"/>
          <w:lang w:eastAsia="it-IT"/>
        </w:rPr>
        <w:t>90 giorni</w:t>
      </w: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 dalla Comunicazione del Comune che ne autorizza la Redazione in base alle modalità contenute nel seguente documento: </w:t>
      </w:r>
      <w:hyperlink r:id="rId7" w:tgtFrame="_blank" w:history="1">
        <w:r w:rsidRPr="00F84D40">
          <w:rPr>
            <w:rFonts w:ascii="Roboto Condensed" w:eastAsia="Times New Roman" w:hAnsi="Roboto Condensed" w:cs="Times New Roman"/>
            <w:b/>
            <w:bCs/>
            <w:color w:val="4B6240"/>
            <w:sz w:val="27"/>
            <w:szCs w:val="27"/>
            <w:u w:val="single"/>
            <w:lang w:eastAsia="it-IT"/>
          </w:rPr>
          <w:t>Progetto Parte Seconda: Modalità di Predisposizione della Documentazione</w:t>
        </w:r>
      </w:hyperlink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.</w:t>
      </w:r>
    </w:p>
    <w:p w:rsidR="00F84D40" w:rsidRPr="00F84D40" w:rsidRDefault="00F84D40" w:rsidP="00F84D40">
      <w:pPr>
        <w:shd w:val="clear" w:color="auto" w:fill="FFFFFF"/>
        <w:spacing w:after="100" w:afterAutospacing="1" w:line="276" w:lineRule="auto"/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</w:pPr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Al link </w:t>
      </w:r>
      <w:hyperlink r:id="rId8" w:tgtFrame="_blank" w:history="1">
        <w:r w:rsidRPr="00F84D40">
          <w:rPr>
            <w:rFonts w:ascii="Roboto Condensed" w:eastAsia="Times New Roman" w:hAnsi="Roboto Condensed" w:cs="Times New Roman"/>
            <w:b/>
            <w:bCs/>
            <w:color w:val="4B6240"/>
            <w:sz w:val="27"/>
            <w:szCs w:val="27"/>
            <w:u w:val="single"/>
            <w:lang w:eastAsia="it-IT"/>
          </w:rPr>
          <w:t>Manuale Istruzioni della Scheda di Accompagnamento ai Progetti di Ricostruzione del Comune dell’Aquila</w:t>
        </w:r>
      </w:hyperlink>
      <w:r w:rsidRPr="00F84D40">
        <w:rPr>
          <w:rFonts w:ascii="Roboto Condensed" w:eastAsia="Times New Roman" w:hAnsi="Roboto Condensed" w:cs="Times New Roman"/>
          <w:color w:val="212529"/>
          <w:sz w:val="27"/>
          <w:szCs w:val="27"/>
          <w:lang w:eastAsia="it-IT"/>
        </w:rPr>
        <w:t> sono disponibili le istruzioni utili ai tecnici per la compilazione della scheda.</w:t>
      </w:r>
    </w:p>
    <w:p w:rsidR="00A05536" w:rsidRDefault="00A05536"/>
    <w:sectPr w:rsidR="00A05536" w:rsidSect="005B69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40"/>
    <w:rsid w:val="005B69EA"/>
    <w:rsid w:val="00A05536"/>
    <w:rsid w:val="00F8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DA23B"/>
  <w14:defaultImageDpi w14:val="32767"/>
  <w15:chartTrackingRefBased/>
  <w15:docId w15:val="{6785A90C-A578-3B46-A5E1-1D03BC37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84D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D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4D4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84D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84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370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ra.it/wp-content/uploads/2014/04/UsraIstrSchedaOnLineV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ra.it/wp-content/uploads/2014/04/modalitaPresentazioneParteI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ra.it/wp-content/uploads/2015/07/DET244.pdf" TargetMode="External"/><Relationship Id="rId5" Type="http://schemas.openxmlformats.org/officeDocument/2006/relationships/hyperlink" Target="http://www.usra.it/wp-content/uploads/2014/04/delegaRitiroCredenzialiSP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mune.laquila.gov.it/pagina820_schede-parametrich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2019-08-28T07:31:00Z</dcterms:created>
  <dcterms:modified xsi:type="dcterms:W3CDTF">2019-08-28T07:33:00Z</dcterms:modified>
</cp:coreProperties>
</file>